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655EF" w14:textId="04D291D5" w:rsidR="0031637B" w:rsidRPr="00B266B0" w:rsidRDefault="0031637B" w:rsidP="0031637B">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00BB0F3A" w:rsidRPr="00BB0F3A">
        <w:rPr>
          <w:bCs/>
          <w:noProof w:val="0"/>
          <w:sz w:val="24"/>
          <w:szCs w:val="24"/>
        </w:rPr>
        <w:t xml:space="preserve">R2-1704344 </w:t>
      </w:r>
    </w:p>
    <w:p w14:paraId="7B9B8285" w14:textId="77777777" w:rsidR="0031637B" w:rsidRPr="00B266B0" w:rsidRDefault="0031637B" w:rsidP="0031637B">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17EB1A36" w14:textId="77777777" w:rsidR="0031637B" w:rsidRPr="00B266B0" w:rsidRDefault="0031637B" w:rsidP="0031637B">
      <w:pPr>
        <w:pStyle w:val="Header"/>
        <w:rPr>
          <w:bCs/>
          <w:noProof w:val="0"/>
          <w:sz w:val="24"/>
        </w:rPr>
      </w:pPr>
    </w:p>
    <w:p w14:paraId="315940B1" w14:textId="72C2420C" w:rsidR="0031637B" w:rsidRPr="00B266B0" w:rsidRDefault="0031637B" w:rsidP="003163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B0F3A">
        <w:rPr>
          <w:rFonts w:cs="Arial"/>
          <w:b/>
          <w:bCs/>
          <w:sz w:val="24"/>
          <w:lang w:eastAsia="ja-JP"/>
        </w:rPr>
        <w:t>10.2.3</w:t>
      </w:r>
    </w:p>
    <w:p w14:paraId="48138D2F" w14:textId="77777777" w:rsidR="0031637B" w:rsidRPr="00B266B0" w:rsidRDefault="0031637B" w:rsidP="003163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311C1778" w14:textId="54A7D99B" w:rsidR="0031637B" w:rsidRDefault="0031637B" w:rsidP="003163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78D5">
        <w:rPr>
          <w:rFonts w:ascii="Arial" w:hAnsi="Arial" w:cs="Arial"/>
          <w:b/>
          <w:bCs/>
          <w:sz w:val="24"/>
        </w:rPr>
        <w:t>LTE/NR measurement framework and coordination aspects</w:t>
      </w:r>
    </w:p>
    <w:p w14:paraId="1DBD36CE" w14:textId="77777777" w:rsidR="0031637B" w:rsidRPr="00B266B0" w:rsidRDefault="0031637B" w:rsidP="003163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F42A2">
        <w:rPr>
          <w:rFonts w:ascii="Arial" w:hAnsi="Arial" w:cs="Arial"/>
          <w:b/>
          <w:bCs/>
          <w:sz w:val="24"/>
        </w:rPr>
        <w:t>NR_newRAT (Release 15)</w:t>
      </w:r>
    </w:p>
    <w:p w14:paraId="7EEC3900" w14:textId="77777777" w:rsidR="0031637B" w:rsidRPr="00B266B0" w:rsidRDefault="0031637B" w:rsidP="003163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992AB0C" w:rsidR="00CD4C7B" w:rsidRDefault="00CD4C7B" w:rsidP="00CD4C7B">
      <w:pPr>
        <w:pStyle w:val="Heading1"/>
      </w:pPr>
      <w:r w:rsidRPr="006E13D1">
        <w:t>1</w:t>
      </w:r>
      <w:r w:rsidRPr="006E13D1">
        <w:tab/>
      </w:r>
      <w:r w:rsidR="0056573F">
        <w:t>Introduction</w:t>
      </w:r>
    </w:p>
    <w:p w14:paraId="72E0F7F0" w14:textId="4D38E1E0" w:rsidR="004513A6" w:rsidRPr="006E13D1" w:rsidRDefault="004513A6" w:rsidP="004513A6">
      <w:r>
        <w:t xml:space="preserve">During the RAN2#97-bis meeting, the following agreements were made on the topic of intra and inter frequency mobility aspects in NR linked to LTE/NR dual connectivity. </w:t>
      </w:r>
    </w:p>
    <w:p w14:paraId="6858C7EF"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t>Agreements:</w:t>
      </w:r>
    </w:p>
    <w:p w14:paraId="30FB1390"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t xml:space="preserve">1: </w:t>
      </w:r>
      <w: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14:paraId="2B2A38D5"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t>1a: MN can also trigger an inter-frequency the SN node change without any request from the SN.</w:t>
      </w:r>
    </w:p>
    <w:p w14:paraId="0DD2FBBA"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t xml:space="preserve">2: </w:t>
      </w:r>
      <w:r>
        <w:tab/>
        <w:t>Final RRC message for the inter-SN change will be generated from master node</w:t>
      </w:r>
    </w:p>
    <w:p w14:paraId="720FD8D2"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14:paraId="64FDF0B7"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p>
    <w:p w14:paraId="7D088334"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rsidRPr="006C7377">
        <w:rPr>
          <w:b/>
        </w:rPr>
        <w:t>FFS</w:t>
      </w:r>
      <w:r>
        <w:t xml:space="preserve">: </w:t>
      </w:r>
      <w:r w:rsidRPr="00E0333B">
        <w:t xml:space="preserve">UE can be configured </w:t>
      </w:r>
      <w:r>
        <w:t>with MN NR measurement configuration and S</w:t>
      </w:r>
      <w:r w:rsidRPr="00E0333B">
        <w:t xml:space="preserve">N </w:t>
      </w:r>
      <w:r>
        <w:t xml:space="preserve">NR </w:t>
      </w:r>
      <w:r w:rsidRPr="00E0333B">
        <w:t>measurement conf</w:t>
      </w:r>
      <w:r>
        <w:t>i</w:t>
      </w:r>
      <w:r w:rsidRPr="00E0333B">
        <w:t>guration</w:t>
      </w:r>
      <w:r>
        <w:t xml:space="preserve">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14:paraId="4A9E6337"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rsidRPr="006C7377">
        <w:rPr>
          <w:b/>
        </w:rPr>
        <w:t>FFS</w:t>
      </w:r>
      <w:r>
        <w:t xml:space="preserve"> on how to coordinate the NR measurement configuration between MN and SN;</w:t>
      </w:r>
    </w:p>
    <w:p w14:paraId="3951229A" w14:textId="77777777" w:rsidR="001031CA" w:rsidRDefault="001031CA" w:rsidP="001031CA">
      <w:pPr>
        <w:pStyle w:val="Doc-text2"/>
        <w:pBdr>
          <w:top w:val="single" w:sz="4" w:space="1" w:color="auto"/>
          <w:left w:val="single" w:sz="4" w:space="4" w:color="auto"/>
          <w:bottom w:val="single" w:sz="4" w:space="1" w:color="auto"/>
          <w:right w:val="single" w:sz="4" w:space="4" w:color="auto"/>
        </w:pBdr>
      </w:pPr>
      <w:r w:rsidRPr="006C7377">
        <w:rPr>
          <w:b/>
        </w:rPr>
        <w:t>FFS</w:t>
      </w:r>
      <w:r>
        <w:t xml:space="preserve"> how to allow the MN to perform inter-RAT measurement for potential handover to the serving SN frequency.</w:t>
      </w:r>
    </w:p>
    <w:p w14:paraId="0FB56CE5" w14:textId="1A3E2EA9" w:rsidR="001031CA" w:rsidRDefault="001031CA" w:rsidP="00CD4C7B"/>
    <w:p w14:paraId="5E90CC87" w14:textId="7217DD17" w:rsidR="004513A6" w:rsidRDefault="004513A6" w:rsidP="00CD4C7B">
      <w:r>
        <w:t>In this contribution, we plan to address the FFS aspects listed above.</w:t>
      </w:r>
    </w:p>
    <w:p w14:paraId="76439640" w14:textId="428BB91D" w:rsidR="00F91561" w:rsidRPr="006E13D1" w:rsidRDefault="00F91561" w:rsidP="00F91561">
      <w:pPr>
        <w:pStyle w:val="Heading1"/>
      </w:pPr>
      <w:r>
        <w:t>2</w:t>
      </w:r>
      <w:r w:rsidRPr="006E13D1">
        <w:tab/>
      </w:r>
      <w:r w:rsidR="00C82805">
        <w:t>Introduction to m</w:t>
      </w:r>
      <w:r>
        <w:t>easurements in LTE</w:t>
      </w:r>
    </w:p>
    <w:p w14:paraId="19E7FB9B" w14:textId="2360D772" w:rsidR="00F91561" w:rsidRDefault="00F511C2" w:rsidP="00F91561">
      <w:r>
        <w:t xml:space="preserve">We based the discussion in this section based on our previous contribution in [2]. </w:t>
      </w:r>
      <w:r w:rsidR="00F91561">
        <w:t>The measurements in LTE can be categorized into three main classes</w:t>
      </w:r>
    </w:p>
    <w:p w14:paraId="73AC2194" w14:textId="77777777" w:rsidR="00F91561" w:rsidRDefault="00F91561" w:rsidP="00F91561">
      <w:pPr>
        <w:pStyle w:val="ListParagraph"/>
        <w:numPr>
          <w:ilvl w:val="0"/>
          <w:numId w:val="6"/>
        </w:numPr>
      </w:pPr>
      <w:r>
        <w:t>Intra-frequency measurements within the current serving carrier(s)</w:t>
      </w:r>
    </w:p>
    <w:p w14:paraId="2D91146A" w14:textId="77777777" w:rsidR="00F91561" w:rsidRDefault="00F91561" w:rsidP="00F91561">
      <w:pPr>
        <w:pStyle w:val="ListParagraph"/>
        <w:numPr>
          <w:ilvl w:val="0"/>
          <w:numId w:val="6"/>
        </w:numPr>
      </w:pPr>
      <w:r>
        <w:t>Inter-frequency measurements of other carriers than those currently used by the UE</w:t>
      </w:r>
    </w:p>
    <w:p w14:paraId="31C904D8" w14:textId="77777777" w:rsidR="00F91561" w:rsidRDefault="00F91561" w:rsidP="00F91561">
      <w:pPr>
        <w:pStyle w:val="ListParagraph"/>
        <w:numPr>
          <w:ilvl w:val="0"/>
          <w:numId w:val="6"/>
        </w:numPr>
      </w:pPr>
      <w:r>
        <w:t>Inter-RAT measurements of RATs other than LTE</w:t>
      </w:r>
    </w:p>
    <w:p w14:paraId="07CBA040" w14:textId="77777777" w:rsidR="00F91561" w:rsidRDefault="00F91561" w:rsidP="00F91561">
      <w:r>
        <w:t>The basic flavour is the intra-frequency measurements: Measurements to ensure the UE is being served by the best possible cell in the current carrier frequency. If (and when) the measurements indicate there is no good target, the inter-frequency measurements are done to continue operating with the LTE system, just on different carrier frequencies. The inter-frequency measurements are typically minimized because they consume UE battery and may have adverse impacts to the UE operation under the serving carrier (e.g. measurement gaps or glitches due to RF frequency tuning), but are still preferable to not having service at all since inter-frequency handovers still allow service continuity. Finally, inter-RAT measurements are similar to inter-frequency measurements but their target is a different RAT, and with the extra caveat that service continuity across inter-RAT handover may not be possible, so it makes sense to avoid inter-RAT handovers where possible. Also, it is complex to allow all possible measurements within a RAT also within another RAT, so the measurements are rather abstracted and only allow detecting the presence of a suitable inter-RAT carrier.</w:t>
      </w:r>
    </w:p>
    <w:p w14:paraId="29CF5932" w14:textId="77777777" w:rsidR="00F91561" w:rsidRDefault="00F91561" w:rsidP="00F91561">
      <w:r w:rsidRPr="008706EF">
        <w:rPr>
          <w:b/>
        </w:rPr>
        <w:lastRenderedPageBreak/>
        <w:t>Observation 1:</w:t>
      </w:r>
      <w:r>
        <w:t xml:space="preserve"> The inter-RAT measurements are typically used only when intra-LTE measurements are not sufficient, i.e. as a “fallback mechanism” for cases when LTE coverage is lost.</w:t>
      </w:r>
    </w:p>
    <w:p w14:paraId="129D9182" w14:textId="77777777" w:rsidR="00F91561" w:rsidRDefault="00F91561" w:rsidP="00F91561">
      <w:r>
        <w:t>To these ends, the LTE specification currently defines only two inter-RAT measurement events: B1 (</w:t>
      </w:r>
      <w:r w:rsidRPr="00AC383E">
        <w:rPr>
          <w:i/>
        </w:rPr>
        <w:t>inter-RAT Neighbour becomes better than absolute threshold</w:t>
      </w:r>
      <w:r>
        <w:t>) and B2 (</w:t>
      </w:r>
      <w:r w:rsidRPr="00AC383E">
        <w:rPr>
          <w:i/>
        </w:rPr>
        <w:t>PCell becomes worse than absolute threshold1 AND inter-RAT neighbour becomes better than another absolute threshold2</w:t>
      </w:r>
      <w:r>
        <w:t>). B1 can be used to do inter-RAT handover to a cell when it is detected, whereas B2 can be used to condition the handover only to cases when the serving cell is also growing weaker at the same time.</w:t>
      </w:r>
    </w:p>
    <w:p w14:paraId="41E3E07F" w14:textId="77777777" w:rsidR="00F91561" w:rsidRPr="00AC383E" w:rsidRDefault="00F91561" w:rsidP="00F91561">
      <w:r>
        <w:t>Additionally, the WLAN measurements defined three other events: W1 (</w:t>
      </w:r>
      <w:r w:rsidRPr="00AC383E">
        <w:rPr>
          <w:i/>
        </w:rPr>
        <w:t xml:space="preserve">WLAN becomes better than a threshold; </w:t>
      </w:r>
      <w:r w:rsidRPr="00841696">
        <w:t>similar to B1</w:t>
      </w:r>
      <w:r>
        <w:t xml:space="preserve"> measurement event), W2 (</w:t>
      </w:r>
      <w:r w:rsidRPr="00AC383E">
        <w:rPr>
          <w:i/>
        </w:rPr>
        <w:t>All WLAN inside WLAN mobility set become worse than a threshold1 and a WLAN outside WLAN mobility set becomes better than a threshold2</w:t>
      </w:r>
      <w:r>
        <w:t>; similar to measurement event B2) and W3 (</w:t>
      </w:r>
      <w:r w:rsidRPr="00AC383E">
        <w:rPr>
          <w:i/>
        </w:rPr>
        <w:t>All WLAN inside WLAN mobility set become worse than a threshold</w:t>
      </w:r>
      <w:r>
        <w:t xml:space="preserve">; similar to measurement event A2). The concept of mobility set in these events refers to the operational WLAN APs during the LWA operation, which means that the events W2 and W3 are </w:t>
      </w:r>
      <w:r>
        <w:rPr>
          <w:b/>
        </w:rPr>
        <w:t>only</w:t>
      </w:r>
      <w:r>
        <w:t xml:space="preserve"> relevant during the LWA operation. Further, the event W1 was explicitly defined </w:t>
      </w:r>
      <w:r>
        <w:rPr>
          <w:b/>
        </w:rPr>
        <w:t>not to work</w:t>
      </w:r>
      <w:r>
        <w:t xml:space="preserve"> while LWA was configured, i.e. it was intended to be used for the purpose of configuring the LWA operation.</w:t>
      </w:r>
    </w:p>
    <w:p w14:paraId="5E2851C9" w14:textId="4F475CF0" w:rsidR="00F91561" w:rsidRDefault="00F91561" w:rsidP="00F91561">
      <w:r w:rsidRPr="0033787E">
        <w:rPr>
          <w:b/>
        </w:rPr>
        <w:t>Observation 2:</w:t>
      </w:r>
      <w:r>
        <w:t xml:space="preserve"> WLAN event W1 is only usable before LWA operation</w:t>
      </w:r>
      <w:r w:rsidR="00F1250F">
        <w:t xml:space="preserve"> is configured</w:t>
      </w:r>
      <w:r>
        <w:t>, whereas WLAN events W2 and W3 are only usable during the LWA operation.</w:t>
      </w:r>
    </w:p>
    <w:p w14:paraId="5FF0E443" w14:textId="59444294" w:rsidR="00CD4C7B" w:rsidRPr="006E13D1" w:rsidRDefault="00CD4C7B" w:rsidP="00CD4C7B">
      <w:pPr>
        <w:pStyle w:val="Heading1"/>
      </w:pPr>
      <w:r w:rsidRPr="006E13D1">
        <w:t>3</w:t>
      </w:r>
      <w:r w:rsidRPr="006E13D1">
        <w:tab/>
      </w:r>
      <w:r w:rsidR="00F91561">
        <w:t xml:space="preserve">Measurements </w:t>
      </w:r>
      <w:r w:rsidR="00C82805">
        <w:t xml:space="preserve">for initial SgNB addition and </w:t>
      </w:r>
      <w:r w:rsidR="00F91561">
        <w:t>during LTE-NR operation</w:t>
      </w:r>
    </w:p>
    <w:p w14:paraId="33C3EE21" w14:textId="79B78836" w:rsidR="00C82805" w:rsidRDefault="00C82805" w:rsidP="00C82805">
      <w:r>
        <w:t>Based on introduction in Section 2, we propose that the inter-RAT measurements of NR that are defined within LTE should be relatively simple, e.g. based on just existing B1 and B2 and may be reused for initial SgNB addition</w:t>
      </w:r>
    </w:p>
    <w:p w14:paraId="7E9340C6" w14:textId="77777777" w:rsidR="00C82805" w:rsidRPr="00F91561" w:rsidRDefault="00C82805" w:rsidP="00C82805">
      <w:pPr>
        <w:rPr>
          <w:b/>
        </w:rPr>
      </w:pPr>
      <w:r w:rsidRPr="00F91561">
        <w:rPr>
          <w:b/>
        </w:rPr>
        <w:t>Proposal 1: For initial SgNB addition, NR measurement events defined within LTE specification should include at least events B1 and B2.</w:t>
      </w:r>
    </w:p>
    <w:p w14:paraId="0F079845" w14:textId="4FEFEDAB" w:rsidR="00F91561" w:rsidRDefault="00F511C2" w:rsidP="00F91561">
      <w:r>
        <w:t xml:space="preserve">We based the discussion in this section based on our previous contribution in [2]. </w:t>
      </w:r>
      <w:r w:rsidR="00F91561">
        <w:t xml:space="preserve">Once the LTE-NR tight interworking has been configured, the NR SgNB can configure UE with measurements, and according to current decisions will also control </w:t>
      </w:r>
      <w:r w:rsidR="00F91561" w:rsidRPr="0033787E">
        <w:t>all</w:t>
      </w:r>
      <w:r w:rsidR="00F91561">
        <w:t xml:space="preserve"> the NR measurements. This presents a dilemma: How should the measurement events configured by the NR SgNB interact with the measurement events configured by the LTE MeNB? Should they be coordinated fully, or should UE simply obey both commands by each node? Or should MeNB always de-configure the NR measurements when the LTE-NR is configured?</w:t>
      </w:r>
    </w:p>
    <w:p w14:paraId="3169514E" w14:textId="0D6008EE" w:rsidR="00F91561" w:rsidRDefault="00F91561" w:rsidP="00F91561">
      <w:r>
        <w:t xml:space="preserve">The basic problem is that UE might be requested to send different measurement reports to each </w:t>
      </w:r>
      <w:r w:rsidR="004B5BB3">
        <w:t>node</w:t>
      </w:r>
      <w:r>
        <w:t xml:space="preserve">: The reports sent to SgNB and MeNB are likely not going to have the exactly </w:t>
      </w:r>
      <w:r w:rsidR="00084209">
        <w:t xml:space="preserve">the </w:t>
      </w:r>
      <w:r>
        <w:t>same ASN.1 format. Requiring each to comprehend the other would also require that each node fully comprehends the ASN.1 encoding used by the other, which is against the basic principle assumed so far: LTE and NR operation should be as separate as possible, to allow separate evolution of each system.</w:t>
      </w:r>
    </w:p>
    <w:p w14:paraId="3060E6B1" w14:textId="0340A1A2" w:rsidR="00F91561" w:rsidRDefault="00CB31FB" w:rsidP="00F91561">
      <w:r>
        <w:rPr>
          <w:b/>
        </w:rPr>
        <w:t>Observation 3</w:t>
      </w:r>
      <w:r w:rsidR="00F91561" w:rsidRPr="0033787E">
        <w:rPr>
          <w:b/>
        </w:rPr>
        <w:t xml:space="preserve">: </w:t>
      </w:r>
      <w:r w:rsidR="00F91561">
        <w:t>MeNB can</w:t>
      </w:r>
      <w:r w:rsidR="00084209">
        <w:t xml:space="preserve">not be assumed to </w:t>
      </w:r>
      <w:r w:rsidR="00F91561">
        <w:t>fully understand either the NR measurement reporting format or the event triggers causing the report to be sent.</w:t>
      </w:r>
    </w:p>
    <w:p w14:paraId="33EEF8CF" w14:textId="28DBD8EB" w:rsidR="00F91561" w:rsidRPr="006E13D1" w:rsidRDefault="00F91561" w:rsidP="00F91561">
      <w:pPr>
        <w:pStyle w:val="Heading1"/>
      </w:pPr>
      <w:r>
        <w:t>4</w:t>
      </w:r>
      <w:r w:rsidRPr="006E13D1">
        <w:tab/>
      </w:r>
      <w:r>
        <w:t>Measurement coordination between MN and SN</w:t>
      </w:r>
    </w:p>
    <w:p w14:paraId="71CBE92C" w14:textId="77777777" w:rsidR="00F91561" w:rsidRDefault="00F91561" w:rsidP="00F91561">
      <w:r>
        <w:t>To initiate the discussion, we refer to [1] which exhaustively lists the aspects connected to measurement coordination and assistance in LTE/NR DC. In [1], 2 mainstream options have been presented with sub-options in section 2.2. These options are meant to discuss the different aspects of measurement configuration (measurement objects, measurement reporting configurations, measurement IDs) can be coordinated for the UE configured with LTE-NR DC operation.</w:t>
      </w:r>
    </w:p>
    <w:p w14:paraId="36BD443B" w14:textId="77777777" w:rsidR="00F91561" w:rsidRDefault="00F91561" w:rsidP="00F91561">
      <w:r>
        <w:t>These options are listed again here for reference, but as we have already indicated the Option 1 is our preferred choice because it allows for simplified coordination between nodes as well as respecting the agreed principle to allow independent specification evolution.</w:t>
      </w:r>
    </w:p>
    <w:p w14:paraId="15EF6008" w14:textId="77777777" w:rsidR="00F91561" w:rsidRDefault="00F91561" w:rsidP="00F91561">
      <w:pPr>
        <w:pStyle w:val="ListParagraph"/>
        <w:numPr>
          <w:ilvl w:val="0"/>
          <w:numId w:val="5"/>
        </w:numPr>
      </w:pPr>
      <w:r w:rsidRPr="004513A6">
        <w:rPr>
          <w:b/>
        </w:rPr>
        <w:t>Option 1:</w:t>
      </w:r>
      <w:r>
        <w:t xml:space="preserve"> Independent configuration between MCG and SCG</w:t>
      </w:r>
    </w:p>
    <w:p w14:paraId="1B43C928" w14:textId="77777777" w:rsidR="00F91561" w:rsidRDefault="00F91561" w:rsidP="00F91561">
      <w:pPr>
        <w:pStyle w:val="ListParagraph"/>
        <w:numPr>
          <w:ilvl w:val="0"/>
          <w:numId w:val="5"/>
        </w:numPr>
      </w:pPr>
      <w:r w:rsidRPr="004513A6">
        <w:rPr>
          <w:b/>
        </w:rPr>
        <w:t>Option 2:</w:t>
      </w:r>
      <w:r>
        <w:t xml:space="preserve"> Common configuration to MCG and SCG</w:t>
      </w:r>
    </w:p>
    <w:p w14:paraId="1288CA7E" w14:textId="15BE8F75" w:rsidR="00F91561" w:rsidRDefault="00C82805" w:rsidP="00F91561">
      <w:pPr>
        <w:jc w:val="center"/>
      </w:pPr>
      <w:r w:rsidRPr="004513A6">
        <w:rPr>
          <w:lang w:val="en-US"/>
        </w:rPr>
        <w:object w:dxaOrig="5414" w:dyaOrig="3358" w14:anchorId="34A83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290.8pt" o:ole="">
            <v:imagedata r:id="rId12" o:title=""/>
          </v:shape>
          <o:OLEObject Type="Embed" ProgID="Visio.Drawing.11" ShapeID="_x0000_i1025" DrawAspect="Content" ObjectID="_1555528105" r:id="rId13"/>
        </w:object>
      </w:r>
    </w:p>
    <w:p w14:paraId="24CCF7C7" w14:textId="77777777" w:rsidR="00F91561" w:rsidRDefault="00F91561" w:rsidP="00F91561">
      <w:pPr>
        <w:jc w:val="center"/>
        <w:rPr>
          <w:b/>
        </w:rPr>
      </w:pPr>
      <w:r w:rsidRPr="004513A6">
        <w:rPr>
          <w:b/>
        </w:rPr>
        <w:t xml:space="preserve">Figure </w:t>
      </w:r>
      <w:r>
        <w:rPr>
          <w:b/>
        </w:rPr>
        <w:t>2-</w:t>
      </w:r>
      <w:r w:rsidRPr="004513A6">
        <w:rPr>
          <w:b/>
        </w:rPr>
        <w:t xml:space="preserve">1: </w:t>
      </w:r>
      <w:r>
        <w:rPr>
          <w:b/>
        </w:rPr>
        <w:t xml:space="preserve">Modified </w:t>
      </w:r>
      <w:r w:rsidRPr="004513A6">
        <w:rPr>
          <w:b/>
        </w:rPr>
        <w:t>Option 1 for coordination of measurements between MN and SN in LTE/NR DC</w:t>
      </w:r>
      <w:r>
        <w:rPr>
          <w:b/>
        </w:rPr>
        <w:t xml:space="preserve"> (Source: [1])</w:t>
      </w:r>
    </w:p>
    <w:p w14:paraId="664A4304" w14:textId="12F260D9" w:rsidR="00F91561" w:rsidRDefault="00F91561" w:rsidP="00F91561">
      <w:r w:rsidRPr="00202767">
        <w:t>The overview of Opti</w:t>
      </w:r>
      <w:r>
        <w:t xml:space="preserve">on 1 is illustrated in Figure </w:t>
      </w:r>
      <w:r w:rsidRPr="00202767">
        <w:t>2-1. In this option, the measurement configuration (objects, report configurations, IDs) is provided by MN and SN independen</w:t>
      </w:r>
      <w:r>
        <w:t xml:space="preserve">tly. As illustrated in Figure </w:t>
      </w:r>
      <w:r w:rsidRPr="00202767">
        <w:t>2-1, the MN builds and provides the UE with the MCG part of measurement configuration using LTE RRC. In this measurement configuration, the MCG cells (LTE) are regarded as serving cells and the other cells including the SCG cells (NR) are regarded as (inter-RAT) neighbour cells. Measurement results associated with the measurement ID provided by the MN is reported to the MN only using the LTE Measurement Report message. Likewise, the SN builds and provides the UE with the SCG part of configuration using NR RRC. In this measurement configuration, the SCG cells (NR) are regarded as serving cells and the other cells including the MCG cells (LTE) are regarded as (inter-RAT) neighbour cells. Measurement results associated with the measurement ID provided by the SN is reported to the SN only using the NR Measurement Report message.</w:t>
      </w:r>
      <w:r w:rsidR="00385A25">
        <w:t xml:space="preserve"> We consider the following to be coordinated as part of the measurement coordination between MN and SN.</w:t>
      </w:r>
    </w:p>
    <w:p w14:paraId="7C013E33" w14:textId="234EA789" w:rsidR="00385A25" w:rsidRDefault="00385A25" w:rsidP="00F91561">
      <w:pPr>
        <w:rPr>
          <w:b/>
        </w:rPr>
      </w:pPr>
      <w:r w:rsidRPr="00385A25">
        <w:rPr>
          <w:b/>
        </w:rPr>
        <w:t xml:space="preserve">Proposal </w:t>
      </w:r>
      <w:r>
        <w:rPr>
          <w:b/>
        </w:rPr>
        <w:t>3</w:t>
      </w:r>
      <w:r w:rsidRPr="00385A25">
        <w:rPr>
          <w:b/>
        </w:rPr>
        <w:t xml:space="preserve">: Measurement configuration between MN and SN involves at least the following aspects; coordinating the set of inter-frequency carriers, </w:t>
      </w:r>
      <w:r>
        <w:rPr>
          <w:b/>
        </w:rPr>
        <w:t>coordinating the measurement gaps in the RATs</w:t>
      </w:r>
      <w:r w:rsidR="00C82805">
        <w:rPr>
          <w:b/>
        </w:rPr>
        <w:t xml:space="preserve"> (pending RAN4 outcome)</w:t>
      </w:r>
      <w:r>
        <w:rPr>
          <w:b/>
        </w:rPr>
        <w:t xml:space="preserve">, </w:t>
      </w:r>
      <w:r w:rsidRPr="00385A25">
        <w:rPr>
          <w:b/>
        </w:rPr>
        <w:t>coordinating the total number of measurement objects and coordinating how measurement results will be potentially shared.</w:t>
      </w:r>
    </w:p>
    <w:p w14:paraId="7C448DF9" w14:textId="073685F8" w:rsidR="00351588" w:rsidRDefault="00351588" w:rsidP="00F91561">
      <w:r>
        <w:t xml:space="preserve">Once LTE/NR dual connectivity is active, it is already agreed that the SgNB is managing the </w:t>
      </w:r>
      <w:r w:rsidR="006C64E9">
        <w:t xml:space="preserve">NR </w:t>
      </w:r>
      <w:r>
        <w:t>measurements and mobility for the intra-frequency scenarios. The question remains why the MN needs to maintain the same measurements and what will be the added value for the MN to maintain duplicated measurement configurations for the serving SN frequencies.</w:t>
      </w:r>
      <w:r w:rsidR="00385A25">
        <w:t xml:space="preserve"> The use case is simply not clear and it is because of the same reason that the agreement below was made:</w:t>
      </w:r>
    </w:p>
    <w:tbl>
      <w:tblPr>
        <w:tblStyle w:val="TableGrid"/>
        <w:tblW w:w="0" w:type="auto"/>
        <w:tblInd w:w="1838" w:type="dxa"/>
        <w:tblLook w:val="04A0" w:firstRow="1" w:lastRow="0" w:firstColumn="1" w:lastColumn="0" w:noHBand="0" w:noVBand="1"/>
      </w:tblPr>
      <w:tblGrid>
        <w:gridCol w:w="5387"/>
      </w:tblGrid>
      <w:tr w:rsidR="00385A25" w14:paraId="1877814A" w14:textId="77777777" w:rsidTr="00385A25">
        <w:tc>
          <w:tcPr>
            <w:tcW w:w="5387" w:type="dxa"/>
          </w:tcPr>
          <w:p w14:paraId="09F332DC" w14:textId="618570CF" w:rsidR="006C64E9" w:rsidRPr="00BB0F3A" w:rsidRDefault="006C64E9" w:rsidP="00BB0F3A">
            <w:r>
              <w:t xml:space="preserve">RAN2 Agreement </w:t>
            </w:r>
            <w:r w:rsidR="00D9301B">
              <w:t>in RAN2#97-bis</w:t>
            </w:r>
            <w:r>
              <w:t>:</w:t>
            </w:r>
          </w:p>
          <w:p w14:paraId="63679978" w14:textId="51BE3B3B" w:rsidR="00385A25" w:rsidRDefault="00385A25" w:rsidP="00385A25">
            <w:pPr>
              <w:jc w:val="center"/>
            </w:pPr>
            <w:r w:rsidRPr="00D20131">
              <w:rPr>
                <w:i/>
              </w:rPr>
              <w:t>SN does not provide the NR measurement results to the MN</w:t>
            </w:r>
          </w:p>
        </w:tc>
      </w:tr>
    </w:tbl>
    <w:p w14:paraId="6208339B" w14:textId="18B95561" w:rsidR="00385A25" w:rsidRDefault="00385A25" w:rsidP="00CB31FB">
      <w:r>
        <w:t xml:space="preserve">To keep the </w:t>
      </w:r>
      <w:r w:rsidR="00BB0F3A">
        <w:t>system view</w:t>
      </w:r>
      <w:r>
        <w:t xml:space="preserve"> simpler, we would propose that the UE can be configured with at most one measurement object per </w:t>
      </w:r>
      <w:r w:rsidR="006C64E9">
        <w:t xml:space="preserve">carrier </w:t>
      </w:r>
      <w:r>
        <w:t>frequency.</w:t>
      </w:r>
    </w:p>
    <w:p w14:paraId="6DB1C9FA" w14:textId="31C166E6" w:rsidR="00385A25" w:rsidRPr="00385A25" w:rsidRDefault="00385A25" w:rsidP="00CB31FB">
      <w:pPr>
        <w:rPr>
          <w:b/>
        </w:rPr>
      </w:pPr>
      <w:r w:rsidRPr="00385A25">
        <w:rPr>
          <w:b/>
        </w:rPr>
        <w:t xml:space="preserve">Proposal </w:t>
      </w:r>
      <w:r>
        <w:rPr>
          <w:b/>
        </w:rPr>
        <w:t>4</w:t>
      </w:r>
      <w:r w:rsidRPr="00385A25">
        <w:rPr>
          <w:b/>
        </w:rPr>
        <w:t xml:space="preserve">: UE </w:t>
      </w:r>
      <w:r w:rsidR="006C64E9">
        <w:rPr>
          <w:b/>
        </w:rPr>
        <w:t xml:space="preserve">is </w:t>
      </w:r>
      <w:r w:rsidRPr="00385A25">
        <w:rPr>
          <w:b/>
        </w:rPr>
        <w:t xml:space="preserve">configured </w:t>
      </w:r>
      <w:r w:rsidR="00915755">
        <w:rPr>
          <w:b/>
        </w:rPr>
        <w:t>(</w:t>
      </w:r>
      <w:r w:rsidR="006C64E9">
        <w:rPr>
          <w:b/>
        </w:rPr>
        <w:t>at most</w:t>
      </w:r>
      <w:r w:rsidR="00915755">
        <w:rPr>
          <w:b/>
        </w:rPr>
        <w:t>)</w:t>
      </w:r>
      <w:r w:rsidR="006C64E9">
        <w:rPr>
          <w:b/>
        </w:rPr>
        <w:t xml:space="preserve"> </w:t>
      </w:r>
      <w:r w:rsidRPr="00385A25">
        <w:rPr>
          <w:b/>
        </w:rPr>
        <w:t>with one measurement object per frequency.</w:t>
      </w:r>
    </w:p>
    <w:p w14:paraId="643CA1D7" w14:textId="2A9F5D63" w:rsidR="002E6C09" w:rsidRDefault="00385A25" w:rsidP="00CB31FB">
      <w:r w:rsidRPr="00385A25">
        <w:t xml:space="preserve">In addition, the UE </w:t>
      </w:r>
      <w:r w:rsidR="002E6C09">
        <w:t>can</w:t>
      </w:r>
      <w:r w:rsidRPr="00385A25">
        <w:t>not be configured by the MN for any measurements on the serving SN frequencies</w:t>
      </w:r>
      <w:r>
        <w:t>.</w:t>
      </w:r>
      <w:r w:rsidR="002E6C09">
        <w:t xml:space="preserve"> For </w:t>
      </w:r>
      <w:r w:rsidR="00685724">
        <w:t>frequencies,</w:t>
      </w:r>
      <w:r w:rsidR="002E6C09">
        <w:t xml:space="preserve"> other than the serving frequencies, we think that there are essentially 2 sub-categories:</w:t>
      </w:r>
    </w:p>
    <w:p w14:paraId="6819BE06" w14:textId="78045B56" w:rsidR="00385A25" w:rsidRDefault="002E6C09" w:rsidP="002E6C09">
      <w:pPr>
        <w:pStyle w:val="ListParagraph"/>
        <w:numPr>
          <w:ilvl w:val="0"/>
          <w:numId w:val="5"/>
        </w:numPr>
      </w:pPr>
      <w:r w:rsidRPr="002E6C09">
        <w:rPr>
          <w:b/>
        </w:rPr>
        <w:lastRenderedPageBreak/>
        <w:t xml:space="preserve">Category 1: </w:t>
      </w:r>
      <w:r>
        <w:t>Non-serving frequencies which are managed by the SgNB</w:t>
      </w:r>
      <w:r w:rsidR="00385A25">
        <w:t xml:space="preserve"> </w:t>
      </w:r>
      <w:r>
        <w:t>which are potentially assigned to the UE</w:t>
      </w:r>
      <w:r w:rsidR="00685724">
        <w:t xml:space="preserve"> for measurements</w:t>
      </w:r>
      <w:r w:rsidR="00C82805">
        <w:t>,</w:t>
      </w:r>
      <w:r w:rsidR="00685724">
        <w:t xml:space="preserve"> </w:t>
      </w:r>
      <w:r w:rsidR="00C82805">
        <w:t xml:space="preserve">when </w:t>
      </w:r>
      <w:r w:rsidR="00685724">
        <w:t>the intra-frequency carriers that the UE is being</w:t>
      </w:r>
      <w:r w:rsidR="00C82805">
        <w:t xml:space="preserve"> currently</w:t>
      </w:r>
      <w:r w:rsidR="00685724">
        <w:t xml:space="preserve"> served </w:t>
      </w:r>
      <w:r w:rsidR="00D9301B">
        <w:t>are no longer able to serve the UE, because they are lost</w:t>
      </w:r>
      <w:r w:rsidR="00685724">
        <w:t xml:space="preserve"> due to coverage reasons.</w:t>
      </w:r>
    </w:p>
    <w:p w14:paraId="22BD8611" w14:textId="56DC17D3" w:rsidR="002E6C09" w:rsidRPr="00385A25" w:rsidRDefault="002E6C09" w:rsidP="002E6C09">
      <w:pPr>
        <w:pStyle w:val="ListParagraph"/>
        <w:numPr>
          <w:ilvl w:val="0"/>
          <w:numId w:val="5"/>
        </w:numPr>
      </w:pPr>
      <w:r>
        <w:rPr>
          <w:b/>
        </w:rPr>
        <w:t>Category 2</w:t>
      </w:r>
      <w:r w:rsidRPr="002E6C09">
        <w:rPr>
          <w:b/>
        </w:rPr>
        <w:t xml:space="preserve">: </w:t>
      </w:r>
      <w:r>
        <w:t xml:space="preserve">Non-serving frequencies which are </w:t>
      </w:r>
      <w:r w:rsidR="00685724">
        <w:t xml:space="preserve">not managed by </w:t>
      </w:r>
      <w:r>
        <w:t xml:space="preserve">the SgNB </w:t>
      </w:r>
      <w:r w:rsidR="00685724">
        <w:t>(but are only known to the MeNB) because of network topology. These carriers are employed specifically by the MeNB for load-balancing reasons.</w:t>
      </w:r>
    </w:p>
    <w:p w14:paraId="7C1A1A3D" w14:textId="3EB382FC" w:rsidR="00685724" w:rsidRDefault="00685724" w:rsidP="00CB31FB">
      <w:pPr>
        <w:rPr>
          <w:b/>
        </w:rPr>
      </w:pPr>
      <w:r w:rsidRPr="00685724">
        <w:rPr>
          <w:b/>
        </w:rPr>
        <w:t>Observation 4: MeNB needs to only maintain the measurements for Category 2 type of non-serving frequencies.</w:t>
      </w:r>
    </w:p>
    <w:p w14:paraId="07B4E481" w14:textId="1E6E55A3" w:rsidR="006F2990" w:rsidRPr="00685724" w:rsidRDefault="006F2990" w:rsidP="00CB31FB">
      <w:pPr>
        <w:rPr>
          <w:b/>
        </w:rPr>
      </w:pPr>
      <w:r>
        <w:rPr>
          <w:b/>
        </w:rPr>
        <w:t>Observation 5: S</w:t>
      </w:r>
      <w:r w:rsidR="004D622B">
        <w:rPr>
          <w:b/>
        </w:rPr>
        <w:t>g</w:t>
      </w:r>
      <w:r>
        <w:rPr>
          <w:b/>
        </w:rPr>
        <w:t xml:space="preserve">NB maintains measurements for Category 1 type of non-serving frequencies. </w:t>
      </w:r>
    </w:p>
    <w:p w14:paraId="5A829F62" w14:textId="4237130D" w:rsidR="00CB31FB" w:rsidRPr="00385A25" w:rsidRDefault="00CB31FB" w:rsidP="00CB31FB">
      <w:pPr>
        <w:rPr>
          <w:b/>
        </w:rPr>
      </w:pPr>
      <w:r w:rsidRPr="00385A25">
        <w:rPr>
          <w:b/>
        </w:rPr>
        <w:t xml:space="preserve">Proposal </w:t>
      </w:r>
      <w:r w:rsidR="00385A25">
        <w:rPr>
          <w:b/>
        </w:rPr>
        <w:t>5</w:t>
      </w:r>
      <w:r w:rsidRPr="00385A25">
        <w:rPr>
          <w:b/>
        </w:rPr>
        <w:t>: UE cannot be configured with MN NR measurement on the serving SN frequencies</w:t>
      </w:r>
      <w:r w:rsidR="006F2990">
        <w:rPr>
          <w:b/>
        </w:rPr>
        <w:t>.</w:t>
      </w:r>
      <w:r w:rsidRPr="00385A25">
        <w:rPr>
          <w:b/>
        </w:rPr>
        <w:t xml:space="preserve"> </w:t>
      </w:r>
      <w:r w:rsidR="006F2990">
        <w:rPr>
          <w:b/>
        </w:rPr>
        <w:t>T</w:t>
      </w:r>
      <w:r w:rsidRPr="00385A25">
        <w:rPr>
          <w:b/>
        </w:rPr>
        <w:t>his does not preclude MN NR measurement configuration to include inter-freq events that include the serving cell measurement.</w:t>
      </w:r>
    </w:p>
    <w:p w14:paraId="3EC301A3" w14:textId="69177C04" w:rsidR="00385A25" w:rsidRDefault="00385A25" w:rsidP="00385A25">
      <w:r>
        <w:rPr>
          <w:b/>
        </w:rPr>
        <w:t>Proposal 5</w:t>
      </w:r>
      <w:r w:rsidRPr="00385A25">
        <w:rPr>
          <w:b/>
        </w:rPr>
        <w:t>a: UE can be configured with MN NR measurement</w:t>
      </w:r>
      <w:r w:rsidR="00685724">
        <w:rPr>
          <w:b/>
        </w:rPr>
        <w:t xml:space="preserve"> (for Category II)</w:t>
      </w:r>
      <w:r w:rsidR="00BB0F3A">
        <w:rPr>
          <w:b/>
        </w:rPr>
        <w:t xml:space="preserve"> and SN NR measurement </w:t>
      </w:r>
      <w:r w:rsidR="00685724">
        <w:rPr>
          <w:b/>
        </w:rPr>
        <w:t>(for Category I)</w:t>
      </w:r>
      <w:r w:rsidRPr="00385A25">
        <w:rPr>
          <w:b/>
        </w:rPr>
        <w:t xml:space="preserve"> </w:t>
      </w:r>
      <w:r w:rsidR="00685724">
        <w:rPr>
          <w:b/>
        </w:rPr>
        <w:t xml:space="preserve">for frequencies </w:t>
      </w:r>
      <w:r w:rsidRPr="00385A25">
        <w:rPr>
          <w:b/>
        </w:rPr>
        <w:t>which are different from the serving frequencies used in SN.</w:t>
      </w:r>
    </w:p>
    <w:p w14:paraId="181EE100" w14:textId="44FD8DD4" w:rsidR="00685724" w:rsidRPr="00685724" w:rsidRDefault="009F2171" w:rsidP="00CB31FB">
      <w:r>
        <w:t xml:space="preserve">From a UE reporting point of view, it is logical that the node that setup the measurement configuration </w:t>
      </w:r>
      <w:r w:rsidR="007B148D">
        <w:t xml:space="preserve">and </w:t>
      </w:r>
      <w:r>
        <w:t xml:space="preserve">reporting </w:t>
      </w:r>
      <w:r w:rsidR="007B148D">
        <w:t>is</w:t>
      </w:r>
      <w:r>
        <w:t xml:space="preserve"> the node that needs the measurement report. Measurement results extracted from measurement reports may be shared between MN and SN to convey additional information (this could be based on the measurement coordination between the MN and the SN as well). Hence f</w:t>
      </w:r>
      <w:r w:rsidRPr="002F21A5">
        <w:t xml:space="preserve">or the measurement </w:t>
      </w:r>
      <w:r>
        <w:t>related aspects, the following principles are proposed.</w:t>
      </w:r>
      <w:r w:rsidR="00581827">
        <w:t xml:space="preserve">  </w:t>
      </w:r>
    </w:p>
    <w:p w14:paraId="3639D4C3" w14:textId="73AEE89E" w:rsidR="00CB31FB" w:rsidRPr="00385A25" w:rsidRDefault="00CB31FB" w:rsidP="00CB31FB">
      <w:pPr>
        <w:rPr>
          <w:b/>
        </w:rPr>
      </w:pPr>
      <w:r w:rsidRPr="00385A25">
        <w:rPr>
          <w:b/>
        </w:rPr>
        <w:t>Proposal 5b: UE sends all measurement reports to the node that configured the measurement.</w:t>
      </w:r>
    </w:p>
    <w:p w14:paraId="29CA5A17" w14:textId="56AA7136" w:rsidR="00CB31FB" w:rsidRPr="00385A25" w:rsidRDefault="00CB31FB" w:rsidP="00CB31FB">
      <w:pPr>
        <w:rPr>
          <w:b/>
        </w:rPr>
      </w:pPr>
      <w:r w:rsidRPr="00385A25">
        <w:rPr>
          <w:b/>
        </w:rPr>
        <w:t xml:space="preserve">Proposal 5c: Only the node that </w:t>
      </w:r>
      <w:r w:rsidR="007B148D">
        <w:rPr>
          <w:b/>
        </w:rPr>
        <w:t>configured</w:t>
      </w:r>
      <w:r w:rsidRPr="00385A25">
        <w:rPr>
          <w:b/>
        </w:rPr>
        <w:t xml:space="preserve"> the measurement can modify the measurement</w:t>
      </w:r>
      <w:r w:rsidR="004D622B">
        <w:rPr>
          <w:b/>
        </w:rPr>
        <w:t xml:space="preserve"> configuration</w:t>
      </w:r>
      <w:r w:rsidRPr="00385A25">
        <w:rPr>
          <w:b/>
        </w:rPr>
        <w:t>.</w:t>
      </w:r>
    </w:p>
    <w:p w14:paraId="43F9E21F" w14:textId="52FE9549" w:rsidR="009F2171" w:rsidRDefault="009F2171" w:rsidP="00CB31FB">
      <w:r>
        <w:t>To avoid the issue of duplicate measurement configuration</w:t>
      </w:r>
      <w:r w:rsidR="007B148D">
        <w:t>s</w:t>
      </w:r>
      <w:r>
        <w:t xml:space="preserve"> with Option 1 (discussed in [1]), we propose that the measurement coordination could </w:t>
      </w:r>
      <w:r w:rsidR="007B148D">
        <w:t xml:space="preserve">also </w:t>
      </w:r>
      <w:r>
        <w:t xml:space="preserve">include </w:t>
      </w:r>
      <w:r w:rsidR="007B148D">
        <w:t xml:space="preserve">an indication </w:t>
      </w:r>
      <w:r>
        <w:t>if a node</w:t>
      </w:r>
      <w:r w:rsidR="007B148D">
        <w:t xml:space="preserve"> needs </w:t>
      </w:r>
      <w:r>
        <w:t xml:space="preserve">the measurement </w:t>
      </w:r>
      <w:r w:rsidR="007B148D">
        <w:t xml:space="preserve">results </w:t>
      </w:r>
      <w:r>
        <w:t xml:space="preserve">made by the other mode. If it is the case, the coordination could </w:t>
      </w:r>
      <w:r w:rsidR="007B148D">
        <w:t xml:space="preserve">have signalling </w:t>
      </w:r>
      <w:r>
        <w:t>for the sharing of the measurement results.</w:t>
      </w:r>
    </w:p>
    <w:p w14:paraId="33C8EACA" w14:textId="4CE8AF08" w:rsidR="00CB31FB" w:rsidRPr="00385A25" w:rsidRDefault="00CB31FB" w:rsidP="00CB31FB">
      <w:pPr>
        <w:rPr>
          <w:b/>
        </w:rPr>
      </w:pPr>
      <w:r w:rsidRPr="00385A25">
        <w:rPr>
          <w:b/>
        </w:rPr>
        <w:t xml:space="preserve">Proposal 5d: It is up to </w:t>
      </w:r>
      <w:r w:rsidR="007B148D">
        <w:rPr>
          <w:b/>
        </w:rPr>
        <w:t xml:space="preserve">the </w:t>
      </w:r>
      <w:r w:rsidRPr="00385A25">
        <w:rPr>
          <w:b/>
        </w:rPr>
        <w:t xml:space="preserve">measurement coordination </w:t>
      </w:r>
      <w:r w:rsidR="007B148D">
        <w:rPr>
          <w:b/>
        </w:rPr>
        <w:t xml:space="preserve">to define </w:t>
      </w:r>
      <w:r w:rsidRPr="00385A25">
        <w:rPr>
          <w:b/>
        </w:rPr>
        <w:t xml:space="preserve">how </w:t>
      </w:r>
      <w:r w:rsidR="007B148D">
        <w:rPr>
          <w:b/>
        </w:rPr>
        <w:t xml:space="preserve">and which </w:t>
      </w:r>
      <w:r w:rsidRPr="00385A25">
        <w:rPr>
          <w:b/>
        </w:rPr>
        <w:t>measurement results are shared between MN and SN (for example to allow the MN to perform inter-RAT handover to the serving SN frequency).</w:t>
      </w:r>
    </w:p>
    <w:p w14:paraId="082B9CC7" w14:textId="4EAEF794" w:rsidR="000F3747" w:rsidRDefault="000F3747" w:rsidP="000F3747">
      <w:r w:rsidRPr="000F3747">
        <w:t>Repeating the discussion in [2],</w:t>
      </w:r>
      <w:r>
        <w:t xml:space="preserve"> o</w:t>
      </w:r>
      <w:r w:rsidRPr="00F0558D">
        <w:t xml:space="preserve">nce the LTE-NR tight interworking either </w:t>
      </w:r>
      <w:r>
        <w:t xml:space="preserve">suffers a SCG failure (i.e. the NR part </w:t>
      </w:r>
      <w:r w:rsidRPr="00F0558D">
        <w:t>fails</w:t>
      </w:r>
      <w:r>
        <w:t>)</w:t>
      </w:r>
      <w:r w:rsidRPr="00F0558D">
        <w:t xml:space="preserve"> or </w:t>
      </w:r>
      <w:r>
        <w:t>the NR part of the LTE-NR configuration is removed</w:t>
      </w:r>
      <w:r w:rsidRPr="00F0558D">
        <w:t xml:space="preserve">, the UE measurements should revert to </w:t>
      </w:r>
      <w:r w:rsidR="00E40A86">
        <w:t xml:space="preserve">operate </w:t>
      </w:r>
      <w:r w:rsidRPr="00F0558D">
        <w:t>the same way as without LTE-NR operation. That is, it is up to MeNB to configure the measurements, and as soon as the NR configuration is removed, any already-configured measurement events may trigger again</w:t>
      </w:r>
      <w:r>
        <w:t>.</w:t>
      </w:r>
    </w:p>
    <w:p w14:paraId="01933A2E" w14:textId="4764CEA4" w:rsidR="000F3747" w:rsidRDefault="000F3747" w:rsidP="000F3747">
      <w:pPr>
        <w:rPr>
          <w:b/>
        </w:rPr>
      </w:pPr>
      <w:r>
        <w:t xml:space="preserve">However, just like with LTE DC, any measurements configured within the NR part should remain </w:t>
      </w:r>
      <w:r w:rsidR="00E40A86">
        <w:t xml:space="preserve">active </w:t>
      </w:r>
      <w:r>
        <w:t xml:space="preserve">even after S-RLF if the LTE-NR configuration remains </w:t>
      </w:r>
      <w:r w:rsidR="00E40A86">
        <w:t xml:space="preserve">valid </w:t>
      </w:r>
      <w:r>
        <w:t xml:space="preserve">at the UE. It should be up to </w:t>
      </w:r>
      <w:r w:rsidR="00E40A86">
        <w:t xml:space="preserve">the </w:t>
      </w:r>
      <w:r>
        <w:t>network</w:t>
      </w:r>
      <w:r w:rsidR="00E40A86">
        <w:t xml:space="preserve"> to decide</w:t>
      </w:r>
      <w:r>
        <w:t xml:space="preserve"> which actions to take after the S-RLF, so the UE measurements should continue until the LTE-NR configuration is </w:t>
      </w:r>
      <w:r w:rsidR="00E40A86">
        <w:t xml:space="preserve">possibly </w:t>
      </w:r>
      <w:r>
        <w:t xml:space="preserve">released. At least the minimum requirement </w:t>
      </w:r>
      <w:r w:rsidR="00E40A86">
        <w:t xml:space="preserve">is </w:t>
      </w:r>
      <w:r>
        <w:t xml:space="preserve">that the UE </w:t>
      </w:r>
      <w:r w:rsidR="00E54C03">
        <w:t>can</w:t>
      </w:r>
      <w:r>
        <w:t xml:space="preserve"> deliver its measurements to the SgNB</w:t>
      </w:r>
      <w:r w:rsidR="00E40A86">
        <w:t>,</w:t>
      </w:r>
      <w:r>
        <w:t xml:space="preserve"> and this needs a routing function from the MeNB.</w:t>
      </w:r>
    </w:p>
    <w:p w14:paraId="705A81BA" w14:textId="2A473A2E" w:rsidR="00CB31FB" w:rsidRPr="00385A25" w:rsidRDefault="00CB31FB" w:rsidP="00CB31FB">
      <w:pPr>
        <w:rPr>
          <w:b/>
        </w:rPr>
      </w:pPr>
      <w:r w:rsidRPr="00385A25">
        <w:rPr>
          <w:b/>
        </w:rPr>
        <w:t>Proposal 6: Upon S-RLF, UE continues measurements based on SgNB configuration and report</w:t>
      </w:r>
      <w:r w:rsidR="00E40A86">
        <w:rPr>
          <w:b/>
        </w:rPr>
        <w:t>s</w:t>
      </w:r>
      <w:r w:rsidRPr="00385A25">
        <w:rPr>
          <w:b/>
        </w:rPr>
        <w:t xml:space="preserve"> newly found NR cells using the SCGFailureInformation </w:t>
      </w:r>
      <w:r w:rsidR="00D9301B">
        <w:rPr>
          <w:b/>
        </w:rPr>
        <w:t xml:space="preserve">and RRC Measurement Report </w:t>
      </w:r>
      <w:r w:rsidRPr="00385A25">
        <w:rPr>
          <w:b/>
        </w:rPr>
        <w:t>even after S-RLF (i.e. until the NR configuration part is removed).</w:t>
      </w:r>
    </w:p>
    <w:p w14:paraId="43A12B72" w14:textId="00CD23DF" w:rsidR="00CD4C7B" w:rsidRPr="006E13D1" w:rsidRDefault="000D0352" w:rsidP="00CD4C7B">
      <w:pPr>
        <w:pStyle w:val="Heading1"/>
      </w:pPr>
      <w:r>
        <w:t>5</w:t>
      </w:r>
      <w:bookmarkStart w:id="0" w:name="_GoBack"/>
      <w:bookmarkEnd w:id="0"/>
      <w:r w:rsidR="00CD4C7B" w:rsidRPr="006E13D1">
        <w:tab/>
      </w:r>
      <w:r w:rsidR="00CB31FB">
        <w:t>Conclusion</w:t>
      </w:r>
    </w:p>
    <w:p w14:paraId="7DD067DE" w14:textId="77777777" w:rsidR="003137A7" w:rsidRDefault="00E54C03" w:rsidP="00CD4C7B">
      <w:r>
        <w:t>In this discussion, we have touched upon several aspects related to how the measurements</w:t>
      </w:r>
      <w:r w:rsidR="00BF7AD9">
        <w:t xml:space="preserve"> are expected to work in LTE/NR</w:t>
      </w:r>
      <w:r w:rsidR="003137A7">
        <w:t xml:space="preserve"> dual connectivity as well as the coordination of measurements between the MN and SN. Based on the discussions, the following observations are made and proposals are made: </w:t>
      </w:r>
    </w:p>
    <w:p w14:paraId="5850A4F0" w14:textId="77777777" w:rsidR="003137A7" w:rsidRPr="003137A7" w:rsidRDefault="003137A7" w:rsidP="003137A7">
      <w:pPr>
        <w:rPr>
          <w:b/>
        </w:rPr>
      </w:pPr>
      <w:r w:rsidRPr="003137A7">
        <w:rPr>
          <w:b/>
        </w:rPr>
        <w:t>Observation 1: The inter-RAT measurements are typically used only when intra-LTE measurements are not sufficient, i.e. as a “fallback mechanism” for cases when LTE coverage is lost.</w:t>
      </w:r>
    </w:p>
    <w:p w14:paraId="28D4681A" w14:textId="77777777" w:rsidR="003137A7" w:rsidRPr="003137A7" w:rsidRDefault="003137A7" w:rsidP="003137A7">
      <w:pPr>
        <w:rPr>
          <w:b/>
        </w:rPr>
      </w:pPr>
      <w:r w:rsidRPr="003137A7">
        <w:rPr>
          <w:b/>
        </w:rPr>
        <w:t>Observation 2: WLAN event W1 is only usable before LWA operation, whereas WLAN events W2 and W3 are only usable during the LWA operation.</w:t>
      </w:r>
    </w:p>
    <w:p w14:paraId="77AA69E9" w14:textId="77777777" w:rsidR="003137A7" w:rsidRPr="003137A7" w:rsidRDefault="003137A7" w:rsidP="003137A7">
      <w:pPr>
        <w:rPr>
          <w:b/>
        </w:rPr>
      </w:pPr>
      <w:r w:rsidRPr="003137A7">
        <w:rPr>
          <w:b/>
        </w:rPr>
        <w:t>Proposal 1: For initial SgNB addition, NR measurement events defined within LTE specification should include at least events B1 and B2.</w:t>
      </w:r>
    </w:p>
    <w:p w14:paraId="5FADFFE3" w14:textId="77777777" w:rsidR="003137A7" w:rsidRPr="003137A7" w:rsidRDefault="003137A7" w:rsidP="003137A7">
      <w:pPr>
        <w:rPr>
          <w:b/>
        </w:rPr>
      </w:pPr>
      <w:r w:rsidRPr="003137A7">
        <w:rPr>
          <w:b/>
        </w:rPr>
        <w:lastRenderedPageBreak/>
        <w:t>Observation 3: It is not reasonable to assume MeNB can fully understand either the NR measurement reporting format or the event triggers causing the report to be sent.</w:t>
      </w:r>
    </w:p>
    <w:p w14:paraId="4688D848" w14:textId="77777777" w:rsidR="003137A7" w:rsidRPr="003137A7" w:rsidRDefault="003137A7" w:rsidP="003137A7">
      <w:pPr>
        <w:rPr>
          <w:b/>
        </w:rPr>
      </w:pPr>
      <w:r w:rsidRPr="003137A7">
        <w:rPr>
          <w:b/>
        </w:rPr>
        <w:t>Proposal 3: Measurement configuration between MN and SN involves at least the following aspects; coordinating the set of inter-frequency carriers, coordinating the measurement gaps in the RATs, coordinating the total number of measurement objects and coordinating how measurement results will be potentially shared.</w:t>
      </w:r>
    </w:p>
    <w:p w14:paraId="0ADE2B6F" w14:textId="77777777" w:rsidR="003137A7" w:rsidRPr="003137A7" w:rsidRDefault="003137A7" w:rsidP="003137A7">
      <w:pPr>
        <w:rPr>
          <w:b/>
        </w:rPr>
      </w:pPr>
      <w:r w:rsidRPr="003137A7">
        <w:rPr>
          <w:b/>
        </w:rPr>
        <w:t>Proposal 4: UE cannot be configured with more than one measurement object per frequency.</w:t>
      </w:r>
    </w:p>
    <w:p w14:paraId="0834FCAC" w14:textId="1DDB460D" w:rsidR="003137A7" w:rsidRDefault="00671E19" w:rsidP="003137A7">
      <w:pPr>
        <w:rPr>
          <w:b/>
        </w:rPr>
      </w:pPr>
      <w:r>
        <w:rPr>
          <w:b/>
        </w:rPr>
        <w:t xml:space="preserve">Observation </w:t>
      </w:r>
      <w:r w:rsidR="003137A7" w:rsidRPr="003137A7">
        <w:rPr>
          <w:b/>
        </w:rPr>
        <w:t>4: MeNB needs to only maintain the measurements for Category 2 type of non-serving frequencies.</w:t>
      </w:r>
    </w:p>
    <w:p w14:paraId="001B1ED8" w14:textId="5B1225D3" w:rsidR="004D622B" w:rsidRPr="003137A7" w:rsidRDefault="004D622B" w:rsidP="003137A7">
      <w:pPr>
        <w:rPr>
          <w:b/>
        </w:rPr>
      </w:pPr>
      <w:r>
        <w:rPr>
          <w:b/>
        </w:rPr>
        <w:t xml:space="preserve">Observation 5: SgNB maintains measurements for Category 1 type of non-serving frequencies. </w:t>
      </w:r>
    </w:p>
    <w:p w14:paraId="73CE0090" w14:textId="77777777" w:rsidR="003137A7" w:rsidRPr="003137A7" w:rsidRDefault="003137A7" w:rsidP="003137A7">
      <w:pPr>
        <w:rPr>
          <w:b/>
        </w:rPr>
      </w:pPr>
      <w:r w:rsidRPr="003137A7">
        <w:rPr>
          <w:b/>
        </w:rPr>
        <w:t>Proposal 5: UE cannot be configured with MN NR measurement configuration on the serving SN frequencies and this does not preclude MN NR measurement configuration to include inter-freq events that include the serving cell measurement.</w:t>
      </w:r>
    </w:p>
    <w:p w14:paraId="40F8895A" w14:textId="77777777" w:rsidR="003137A7" w:rsidRPr="003137A7" w:rsidRDefault="003137A7" w:rsidP="003137A7">
      <w:pPr>
        <w:rPr>
          <w:b/>
        </w:rPr>
      </w:pPr>
      <w:r w:rsidRPr="003137A7">
        <w:rPr>
          <w:b/>
        </w:rPr>
        <w:t>Proposal 5a: UE can be configured with MN NR measurement configuration (for Category II) and SN NR measurement configuration (for Category I) for frequencies which are different from the serving frequencies used in SN.</w:t>
      </w:r>
    </w:p>
    <w:p w14:paraId="19BA110C" w14:textId="77777777" w:rsidR="003137A7" w:rsidRPr="003137A7" w:rsidRDefault="003137A7" w:rsidP="003137A7">
      <w:pPr>
        <w:rPr>
          <w:b/>
        </w:rPr>
      </w:pPr>
      <w:r w:rsidRPr="003137A7">
        <w:rPr>
          <w:b/>
        </w:rPr>
        <w:t>Proposal 5b: UE sends all measurement reports to the node that configured the measurement.</w:t>
      </w:r>
    </w:p>
    <w:p w14:paraId="122CBA8D" w14:textId="107276ED" w:rsidR="003137A7" w:rsidRPr="003137A7" w:rsidRDefault="003137A7" w:rsidP="003137A7">
      <w:pPr>
        <w:rPr>
          <w:b/>
        </w:rPr>
      </w:pPr>
      <w:r w:rsidRPr="003137A7">
        <w:rPr>
          <w:b/>
        </w:rPr>
        <w:t>Proposal 5c: Only the node that setup the measurement can modify the measurement</w:t>
      </w:r>
      <w:r w:rsidR="004D622B">
        <w:rPr>
          <w:b/>
        </w:rPr>
        <w:t xml:space="preserve"> configuration</w:t>
      </w:r>
      <w:r w:rsidRPr="003137A7">
        <w:rPr>
          <w:b/>
        </w:rPr>
        <w:t>.</w:t>
      </w:r>
    </w:p>
    <w:p w14:paraId="58FD67BF" w14:textId="77777777" w:rsidR="003137A7" w:rsidRPr="003137A7" w:rsidRDefault="003137A7" w:rsidP="003137A7">
      <w:pPr>
        <w:rPr>
          <w:b/>
        </w:rPr>
      </w:pPr>
      <w:r w:rsidRPr="003137A7">
        <w:rPr>
          <w:b/>
        </w:rPr>
        <w:t>Proposal 5d: It is up to measurement coordination how measurement results are shared between MN and SN (for example to allow the MN to perform inter-RAT handover to the serving SN frequency).</w:t>
      </w:r>
    </w:p>
    <w:p w14:paraId="190C81D1" w14:textId="274B5A46" w:rsidR="00CD4C7B" w:rsidRPr="006E13D1" w:rsidRDefault="003137A7" w:rsidP="00CD4C7B">
      <w:r w:rsidRPr="003137A7">
        <w:rPr>
          <w:b/>
        </w:rPr>
        <w:t>Proposal 6: Upon S-RLF, UE continues measurements based on SgNB configuration and report newly found NR cells using the SCGFailureInformation even after S-RLF (i.e. until the NR configuration part is removed).</w:t>
      </w:r>
    </w:p>
    <w:p w14:paraId="0FDCFAC2" w14:textId="77777777" w:rsidR="00CD4C7B" w:rsidRPr="006E13D1" w:rsidRDefault="00CD4C7B" w:rsidP="00CD4C7B">
      <w:pPr>
        <w:pStyle w:val="Heading1"/>
      </w:pPr>
      <w:r w:rsidRPr="006E13D1">
        <w:t>References</w:t>
      </w:r>
    </w:p>
    <w:p w14:paraId="2B8C910F" w14:textId="3E06BE46" w:rsidR="00CD4C7B" w:rsidRPr="006E13D1" w:rsidRDefault="00F511C2" w:rsidP="00F511C2">
      <w:pPr>
        <w:numPr>
          <w:ilvl w:val="0"/>
          <w:numId w:val="4"/>
        </w:numPr>
        <w:overflowPunct w:val="0"/>
        <w:autoSpaceDE w:val="0"/>
        <w:autoSpaceDN w:val="0"/>
        <w:adjustRightInd w:val="0"/>
        <w:textAlignment w:val="baseline"/>
      </w:pPr>
      <w:bookmarkStart w:id="1" w:name="_Ref75086397"/>
      <w:r w:rsidRPr="00F511C2">
        <w:t>R2-17xxxxx</w:t>
      </w:r>
      <w:r>
        <w:t xml:space="preserve">: Report of the email discussion: </w:t>
      </w:r>
      <w:r w:rsidRPr="00F511C2">
        <w:t>NR 97bis#10 MN-SN measurement coordination</w:t>
      </w:r>
      <w:r>
        <w:t>, NTT Docomo</w:t>
      </w:r>
    </w:p>
    <w:bookmarkEnd w:id="1"/>
    <w:p w14:paraId="4AA5C936" w14:textId="4C864F12" w:rsidR="00CD4C7B" w:rsidRPr="006E13D1" w:rsidRDefault="00F511C2" w:rsidP="00F511C2">
      <w:pPr>
        <w:numPr>
          <w:ilvl w:val="0"/>
          <w:numId w:val="4"/>
        </w:numPr>
        <w:overflowPunct w:val="0"/>
        <w:autoSpaceDE w:val="0"/>
        <w:autoSpaceDN w:val="0"/>
        <w:adjustRightInd w:val="0"/>
        <w:textAlignment w:val="baseline"/>
      </w:pPr>
      <w:r w:rsidRPr="00F511C2">
        <w:t>R2-1702693</w:t>
      </w:r>
      <w:r>
        <w:t xml:space="preserve">: </w:t>
      </w:r>
      <w:r w:rsidRPr="00F511C2">
        <w:t>Measurement coordination for LTE-NR tight interworking</w:t>
      </w:r>
      <w:r>
        <w:t xml:space="preserve">, </w:t>
      </w:r>
      <w:r w:rsidRPr="00F511C2">
        <w:rPr>
          <w:i/>
        </w:rPr>
        <w:t>Nokia, Alcatel-Lucent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FD89B" w14:textId="77777777" w:rsidR="00F73AFF" w:rsidRDefault="00F73AFF">
      <w:r>
        <w:separator/>
      </w:r>
    </w:p>
  </w:endnote>
  <w:endnote w:type="continuationSeparator" w:id="0">
    <w:p w14:paraId="65200A99" w14:textId="77777777" w:rsidR="00F73AFF" w:rsidRDefault="00F73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F8CEF" w14:textId="77777777" w:rsidR="00F73AFF" w:rsidRDefault="00F73AFF">
      <w:r>
        <w:separator/>
      </w:r>
    </w:p>
  </w:footnote>
  <w:footnote w:type="continuationSeparator" w:id="0">
    <w:p w14:paraId="375B5ACC" w14:textId="77777777" w:rsidR="00F73AFF" w:rsidRDefault="00F73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5758A9"/>
    <w:multiLevelType w:val="hybridMultilevel"/>
    <w:tmpl w:val="B76070C2"/>
    <w:lvl w:ilvl="0" w:tplc="CE7613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E2E2F7D"/>
    <w:multiLevelType w:val="hybridMultilevel"/>
    <w:tmpl w:val="72D60B48"/>
    <w:lvl w:ilvl="0" w:tplc="040B0015">
      <w:start w:val="1"/>
      <w:numFmt w:val="upp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4209"/>
    <w:rsid w:val="00090468"/>
    <w:rsid w:val="000A0506"/>
    <w:rsid w:val="000B7BCF"/>
    <w:rsid w:val="000C522B"/>
    <w:rsid w:val="000D0352"/>
    <w:rsid w:val="000D58AB"/>
    <w:rsid w:val="000F3747"/>
    <w:rsid w:val="001031CA"/>
    <w:rsid w:val="001103B6"/>
    <w:rsid w:val="00145075"/>
    <w:rsid w:val="001741A0"/>
    <w:rsid w:val="00194CD0"/>
    <w:rsid w:val="001A78D5"/>
    <w:rsid w:val="001B49C9"/>
    <w:rsid w:val="001F168B"/>
    <w:rsid w:val="001F7831"/>
    <w:rsid w:val="00202767"/>
    <w:rsid w:val="00204045"/>
    <w:rsid w:val="0022606D"/>
    <w:rsid w:val="002747EC"/>
    <w:rsid w:val="002855BF"/>
    <w:rsid w:val="002E6C09"/>
    <w:rsid w:val="002F0D22"/>
    <w:rsid w:val="00312FF2"/>
    <w:rsid w:val="003137A7"/>
    <w:rsid w:val="0031637B"/>
    <w:rsid w:val="003172DC"/>
    <w:rsid w:val="00326069"/>
    <w:rsid w:val="00351588"/>
    <w:rsid w:val="0035462D"/>
    <w:rsid w:val="00385A25"/>
    <w:rsid w:val="003B40AD"/>
    <w:rsid w:val="003C4E37"/>
    <w:rsid w:val="003E16BE"/>
    <w:rsid w:val="00401855"/>
    <w:rsid w:val="00437588"/>
    <w:rsid w:val="004513A6"/>
    <w:rsid w:val="00477455"/>
    <w:rsid w:val="004B5BB3"/>
    <w:rsid w:val="004D3578"/>
    <w:rsid w:val="004D380D"/>
    <w:rsid w:val="004D622B"/>
    <w:rsid w:val="004E213A"/>
    <w:rsid w:val="00503171"/>
    <w:rsid w:val="00506C28"/>
    <w:rsid w:val="00534DA0"/>
    <w:rsid w:val="00543E6C"/>
    <w:rsid w:val="00565087"/>
    <w:rsid w:val="0056573F"/>
    <w:rsid w:val="00581827"/>
    <w:rsid w:val="00611566"/>
    <w:rsid w:val="00646D99"/>
    <w:rsid w:val="00656910"/>
    <w:rsid w:val="00660EC3"/>
    <w:rsid w:val="00671E19"/>
    <w:rsid w:val="00685724"/>
    <w:rsid w:val="006C64E9"/>
    <w:rsid w:val="006C66D8"/>
    <w:rsid w:val="006D1E24"/>
    <w:rsid w:val="006E1417"/>
    <w:rsid w:val="006F2990"/>
    <w:rsid w:val="006F6A2C"/>
    <w:rsid w:val="00710201"/>
    <w:rsid w:val="00721205"/>
    <w:rsid w:val="00734A5B"/>
    <w:rsid w:val="00744E76"/>
    <w:rsid w:val="00757D40"/>
    <w:rsid w:val="00781F0F"/>
    <w:rsid w:val="0078727C"/>
    <w:rsid w:val="0079049D"/>
    <w:rsid w:val="007B148D"/>
    <w:rsid w:val="007B18D8"/>
    <w:rsid w:val="007C095F"/>
    <w:rsid w:val="008028A4"/>
    <w:rsid w:val="00813245"/>
    <w:rsid w:val="00843167"/>
    <w:rsid w:val="008768CA"/>
    <w:rsid w:val="00877EF9"/>
    <w:rsid w:val="00880559"/>
    <w:rsid w:val="008B5306"/>
    <w:rsid w:val="0090271F"/>
    <w:rsid w:val="00902DB9"/>
    <w:rsid w:val="0090466A"/>
    <w:rsid w:val="00915755"/>
    <w:rsid w:val="00936071"/>
    <w:rsid w:val="00940212"/>
    <w:rsid w:val="00942EC2"/>
    <w:rsid w:val="00961B32"/>
    <w:rsid w:val="00970DB3"/>
    <w:rsid w:val="00974BB0"/>
    <w:rsid w:val="009A0AF3"/>
    <w:rsid w:val="009B07CD"/>
    <w:rsid w:val="009C19E9"/>
    <w:rsid w:val="009F2171"/>
    <w:rsid w:val="00A10F02"/>
    <w:rsid w:val="00A204CA"/>
    <w:rsid w:val="00A20AB7"/>
    <w:rsid w:val="00A53724"/>
    <w:rsid w:val="00A571F1"/>
    <w:rsid w:val="00A82346"/>
    <w:rsid w:val="00A857D2"/>
    <w:rsid w:val="00A9671C"/>
    <w:rsid w:val="00AA1553"/>
    <w:rsid w:val="00B15449"/>
    <w:rsid w:val="00B42EBB"/>
    <w:rsid w:val="00B47FD1"/>
    <w:rsid w:val="00B516BB"/>
    <w:rsid w:val="00BB0F3A"/>
    <w:rsid w:val="00BF7AD9"/>
    <w:rsid w:val="00C12B51"/>
    <w:rsid w:val="00C24650"/>
    <w:rsid w:val="00C33079"/>
    <w:rsid w:val="00C82805"/>
    <w:rsid w:val="00C83A13"/>
    <w:rsid w:val="00C9068C"/>
    <w:rsid w:val="00C92967"/>
    <w:rsid w:val="00CA3D0C"/>
    <w:rsid w:val="00CA654B"/>
    <w:rsid w:val="00CB31FB"/>
    <w:rsid w:val="00CD4C7B"/>
    <w:rsid w:val="00D300EA"/>
    <w:rsid w:val="00D368D7"/>
    <w:rsid w:val="00D738D6"/>
    <w:rsid w:val="00D80795"/>
    <w:rsid w:val="00D87E00"/>
    <w:rsid w:val="00D9134D"/>
    <w:rsid w:val="00D9301B"/>
    <w:rsid w:val="00D96D11"/>
    <w:rsid w:val="00DA7A03"/>
    <w:rsid w:val="00DB1818"/>
    <w:rsid w:val="00DC309B"/>
    <w:rsid w:val="00DC4DA2"/>
    <w:rsid w:val="00DD2715"/>
    <w:rsid w:val="00E26405"/>
    <w:rsid w:val="00E40A86"/>
    <w:rsid w:val="00E54C03"/>
    <w:rsid w:val="00E62835"/>
    <w:rsid w:val="00E77645"/>
    <w:rsid w:val="00E83697"/>
    <w:rsid w:val="00EC4A25"/>
    <w:rsid w:val="00F025A2"/>
    <w:rsid w:val="00F07388"/>
    <w:rsid w:val="00F1250F"/>
    <w:rsid w:val="00F2026E"/>
    <w:rsid w:val="00F2210A"/>
    <w:rsid w:val="00F37743"/>
    <w:rsid w:val="00F45BC0"/>
    <w:rsid w:val="00F511C2"/>
    <w:rsid w:val="00F54A3D"/>
    <w:rsid w:val="00F62267"/>
    <w:rsid w:val="00F653B8"/>
    <w:rsid w:val="00F71B89"/>
    <w:rsid w:val="00F7353C"/>
    <w:rsid w:val="00F73AFF"/>
    <w:rsid w:val="00F76F8F"/>
    <w:rsid w:val="00F9156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1031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31CA"/>
    <w:rPr>
      <w:rFonts w:ascii="Arial" w:eastAsia="MS Mincho" w:hAnsi="Arial"/>
      <w:szCs w:val="24"/>
    </w:rPr>
  </w:style>
  <w:style w:type="character" w:styleId="CommentReference">
    <w:name w:val="annotation reference"/>
    <w:basedOn w:val="DefaultParagraphFont"/>
    <w:rsid w:val="00DD2715"/>
    <w:rPr>
      <w:sz w:val="16"/>
      <w:szCs w:val="16"/>
    </w:rPr>
  </w:style>
  <w:style w:type="paragraph" w:styleId="CommentText">
    <w:name w:val="annotation text"/>
    <w:basedOn w:val="Normal"/>
    <w:link w:val="CommentTextChar"/>
    <w:rsid w:val="00DD2715"/>
  </w:style>
  <w:style w:type="character" w:customStyle="1" w:styleId="CommentTextChar">
    <w:name w:val="Comment Text Char"/>
    <w:basedOn w:val="DefaultParagraphFont"/>
    <w:link w:val="CommentText"/>
    <w:rsid w:val="00DD2715"/>
    <w:rPr>
      <w:lang w:eastAsia="en-US"/>
    </w:rPr>
  </w:style>
  <w:style w:type="paragraph" w:styleId="BalloonText">
    <w:name w:val="Balloon Text"/>
    <w:basedOn w:val="Normal"/>
    <w:link w:val="BalloonTextChar"/>
    <w:rsid w:val="00DD2715"/>
    <w:pPr>
      <w:spacing w:after="0"/>
    </w:pPr>
    <w:rPr>
      <w:rFonts w:ascii="Segoe UI" w:hAnsi="Segoe UI" w:cs="Segoe UI"/>
      <w:sz w:val="18"/>
      <w:szCs w:val="18"/>
    </w:rPr>
  </w:style>
  <w:style w:type="character" w:customStyle="1" w:styleId="BalloonTextChar">
    <w:name w:val="Balloon Text Char"/>
    <w:basedOn w:val="DefaultParagraphFont"/>
    <w:link w:val="BalloonText"/>
    <w:rsid w:val="00DD2715"/>
    <w:rPr>
      <w:rFonts w:ascii="Segoe UI" w:hAnsi="Segoe UI" w:cs="Segoe UI"/>
      <w:sz w:val="18"/>
      <w:szCs w:val="18"/>
      <w:lang w:eastAsia="en-US"/>
    </w:rPr>
  </w:style>
  <w:style w:type="paragraph" w:styleId="ListParagraph">
    <w:name w:val="List Paragraph"/>
    <w:basedOn w:val="Normal"/>
    <w:uiPriority w:val="34"/>
    <w:qFormat/>
    <w:rsid w:val="004513A6"/>
    <w:pPr>
      <w:ind w:left="720"/>
      <w:contextualSpacing/>
    </w:pPr>
  </w:style>
  <w:style w:type="table" w:styleId="TableGrid">
    <w:name w:val="Table Grid"/>
    <w:basedOn w:val="TableNormal"/>
    <w:rsid w:val="00385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84209"/>
    <w:rPr>
      <w:b/>
      <w:bCs/>
    </w:rPr>
  </w:style>
  <w:style w:type="character" w:customStyle="1" w:styleId="CommentSubjectChar">
    <w:name w:val="Comment Subject Char"/>
    <w:basedOn w:val="CommentTextChar"/>
    <w:link w:val="CommentSubject"/>
    <w:rsid w:val="000842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880605">
      <w:bodyDiv w:val="1"/>
      <w:marLeft w:val="0"/>
      <w:marRight w:val="0"/>
      <w:marTop w:val="0"/>
      <w:marBottom w:val="0"/>
      <w:divBdr>
        <w:top w:val="none" w:sz="0" w:space="0" w:color="auto"/>
        <w:left w:val="none" w:sz="0" w:space="0" w:color="auto"/>
        <w:bottom w:val="none" w:sz="0" w:space="0" w:color="auto"/>
        <w:right w:val="none" w:sz="0" w:space="0" w:color="auto"/>
      </w:divBdr>
    </w:div>
    <w:div w:id="152024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SP-5AIRPNAIUNRU-859666464-241</_dlc_DocId>
    <_dlc_DocIdUrl xmlns="71c5aaf6-e6ce-465b-b873-5148d2a4c105">
      <Url>https://nokia.sharepoint.com/sites/c5g/e2earch/_layouts/15/DocIdRedir.aspx?ID=SP-5AIRPNAIUNRU-859666464-241</Url>
      <Description>SP-5AIRPNAIUNRU-859666464-241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B2C2-3CED-495E-92D8-B502C56AF35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09FDA40-5ACB-411F-A554-75C038A39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C341F-03E1-431A-8332-597654537EF4}">
  <ds:schemaRefs>
    <ds:schemaRef ds:uri="http://schemas.microsoft.com/sharepoint/events"/>
  </ds:schemaRefs>
</ds:datastoreItem>
</file>

<file path=customXml/itemProps4.xml><?xml version="1.0" encoding="utf-8"?>
<ds:datastoreItem xmlns:ds="http://schemas.openxmlformats.org/officeDocument/2006/customXml" ds:itemID="{ED0E7073-1ED5-4CE2-B32C-599B32D4C800}">
  <ds:schemaRefs>
    <ds:schemaRef ds:uri="http://schemas.microsoft.com/sharepoint/v3/contenttype/forms"/>
  </ds:schemaRefs>
</ds:datastoreItem>
</file>

<file path=customXml/itemProps5.xml><?xml version="1.0" encoding="utf-8"?>
<ds:datastoreItem xmlns:ds="http://schemas.openxmlformats.org/officeDocument/2006/customXml" ds:itemID="{09996907-1B42-464D-8FAE-B5D5903D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256</TotalTime>
  <Pages>5</Pages>
  <Words>2430</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16254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35</cp:revision>
  <dcterms:created xsi:type="dcterms:W3CDTF">2016-08-12T03:53:00Z</dcterms:created>
  <dcterms:modified xsi:type="dcterms:W3CDTF">2017-05-05T19:22:00Z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20adc08e-8419-4142-a978-ec91269e7154</vt:lpwstr>
  </property>
</Properties>
</file>